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7A1B" w14:textId="51F83DCE" w:rsidR="00702F1F" w:rsidRPr="0005412B" w:rsidRDefault="00000000">
      <w:pPr>
        <w:pStyle w:val="Balk1"/>
        <w:spacing w:before="480" w:after="120"/>
        <w:jc w:val="center"/>
        <w:rPr>
          <w:sz w:val="28"/>
          <w:szCs w:val="28"/>
        </w:rPr>
      </w:pPr>
      <w:bookmarkStart w:id="0" w:name="_Toc_NORA_LFE_STES_YNETM_KURULU_BAKANLII"/>
      <w:r w:rsidRPr="0005412B">
        <w:rPr>
          <w:sz w:val="28"/>
          <w:szCs w:val="28"/>
        </w:rPr>
        <w:t xml:space="preserve">YÖNETİM KURULU </w:t>
      </w:r>
      <w:bookmarkEnd w:id="0"/>
      <w:r w:rsidR="0005412B" w:rsidRPr="0005412B">
        <w:rPr>
          <w:sz w:val="28"/>
          <w:szCs w:val="28"/>
        </w:rPr>
        <w:t>KARARI</w:t>
      </w:r>
    </w:p>
    <w:p w14:paraId="19CC170E" w14:textId="77777777" w:rsidR="00702F1F" w:rsidRDefault="00702F1F"/>
    <w:p w14:paraId="5CC2F8C0" w14:textId="487DCA9F" w:rsidR="0005412B" w:rsidRPr="0005412B" w:rsidRDefault="0005412B">
      <w:pPr>
        <w:spacing w:before="240" w:after="240" w:line="276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KARAR TARİHİ: 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/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./2026</w:t>
      </w:r>
    </w:p>
    <w:p w14:paraId="0CF526F1" w14:textId="31F61323" w:rsidR="0005412B" w:rsidRDefault="00000000">
      <w:pPr>
        <w:spacing w:before="240" w:after="240" w:line="276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KARAR KONUSU:</w:t>
      </w:r>
      <w:r>
        <w:rPr>
          <w:color w:val="000000"/>
          <w:sz w:val="22"/>
          <w:szCs w:val="22"/>
        </w:rPr>
        <w:t xml:space="preserve"> </w:t>
      </w:r>
      <w:r w:rsidR="00C7321F">
        <w:rPr>
          <w:color w:val="000000"/>
          <w:sz w:val="22"/>
          <w:szCs w:val="22"/>
        </w:rPr>
        <w:t>…………</w:t>
      </w:r>
      <w:r>
        <w:rPr>
          <w:color w:val="000000"/>
          <w:sz w:val="22"/>
          <w:szCs w:val="22"/>
        </w:rPr>
        <w:t xml:space="preserve"> ve </w:t>
      </w:r>
      <w:r w:rsidR="00C7321F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 xml:space="preserve"> isimli site görevlilerinin iş akitlerinin sonlandırılması, feshin hukuki dayanaklarının tespiti ve yasal haklarının eksiksiz ödenmesi hakkında yönetim kurulu kararıdır. </w:t>
      </w:r>
    </w:p>
    <w:p w14:paraId="3F7DD406" w14:textId="38D0B097" w:rsidR="0005412B" w:rsidRDefault="00C7321F" w:rsidP="0005412B">
      <w:pPr>
        <w:spacing w:before="240" w:after="240" w:line="276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</w:t>
      </w:r>
      <w:r w:rsidR="00000000">
        <w:rPr>
          <w:color w:val="000000"/>
          <w:sz w:val="22"/>
          <w:szCs w:val="22"/>
        </w:rPr>
        <w:t xml:space="preserve"> Sitesi Yönetim Kurulu olarak, sitenin sevk ve idaresi, işletme bütçesinin verimliliği ve hizmet kalitesinin sürdürülebilirliği mülahazasıyla yapılan değerlendirmeler neticesinde; site bünyesinde görev yapmakta olan </w:t>
      </w:r>
      <w:r>
        <w:rPr>
          <w:color w:val="000000"/>
          <w:sz w:val="22"/>
          <w:szCs w:val="22"/>
        </w:rPr>
        <w:t>…………</w:t>
      </w:r>
      <w:r w:rsidR="00000000">
        <w:rPr>
          <w:color w:val="000000"/>
          <w:sz w:val="22"/>
          <w:szCs w:val="22"/>
        </w:rPr>
        <w:t xml:space="preserve"> ve </w:t>
      </w:r>
      <w:r>
        <w:rPr>
          <w:color w:val="000000"/>
          <w:sz w:val="22"/>
          <w:szCs w:val="22"/>
        </w:rPr>
        <w:t>………….</w:t>
      </w:r>
      <w:r w:rsidR="00000000">
        <w:rPr>
          <w:color w:val="000000"/>
          <w:sz w:val="22"/>
          <w:szCs w:val="22"/>
        </w:rPr>
        <w:t xml:space="preserve"> Yıldırım’ın iş sözleşmelerinin sonlandırılması zarureti hâsıl olmuştur. İşbu karar, 4857 sayılı İş Kanunu ve ilgili mevzuat çerçevesinde, işverenin yönetim hakkı kapsamında alınmış bir işletmesel karardır. </w:t>
      </w:r>
    </w:p>
    <w:p w14:paraId="465FFAF1" w14:textId="6A0C1DD7" w:rsidR="0005412B" w:rsidRDefault="00C7321F" w:rsidP="0005412B">
      <w:pPr>
        <w:spacing w:before="240" w:after="240" w:line="276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………...</w:t>
      </w:r>
      <w:r w:rsidR="00000000">
        <w:rPr>
          <w:color w:val="000000"/>
          <w:sz w:val="22"/>
          <w:szCs w:val="22"/>
        </w:rPr>
        <w:t xml:space="preserve"> Sitesi Yönetimi, feshin hukuki sonuçlarını eksiksiz yerine getirmeyi prensip edinmiştir. Bu kapsamda, iş akdi feshedilen </w:t>
      </w:r>
      <w:r>
        <w:rPr>
          <w:color w:val="000000"/>
          <w:sz w:val="22"/>
          <w:szCs w:val="22"/>
        </w:rPr>
        <w:t xml:space="preserve">…………. </w:t>
      </w:r>
      <w:r w:rsidR="00000000">
        <w:rPr>
          <w:color w:val="000000"/>
          <w:sz w:val="22"/>
          <w:szCs w:val="22"/>
        </w:rPr>
        <w:t xml:space="preserve">ve </w:t>
      </w:r>
      <w:r>
        <w:rPr>
          <w:color w:val="000000"/>
          <w:sz w:val="22"/>
          <w:szCs w:val="22"/>
        </w:rPr>
        <w:t>…………….</w:t>
      </w:r>
      <w:r w:rsidR="00000000">
        <w:rPr>
          <w:color w:val="000000"/>
          <w:sz w:val="22"/>
          <w:szCs w:val="22"/>
        </w:rPr>
        <w:t>’</w:t>
      </w:r>
      <w:proofErr w:type="spellStart"/>
      <w:r w:rsidR="00000000">
        <w:rPr>
          <w:color w:val="000000"/>
          <w:sz w:val="22"/>
          <w:szCs w:val="22"/>
        </w:rPr>
        <w:t>ın</w:t>
      </w:r>
      <w:proofErr w:type="spellEnd"/>
      <w:r w:rsidR="00000000">
        <w:rPr>
          <w:color w:val="000000"/>
          <w:sz w:val="22"/>
          <w:szCs w:val="22"/>
        </w:rPr>
        <w:t xml:space="preserve">; </w:t>
      </w:r>
      <w:r w:rsidR="00000000">
        <w:rPr>
          <w:i/>
          <w:iCs/>
          <w:color w:val="000000"/>
          <w:sz w:val="22"/>
          <w:szCs w:val="22"/>
        </w:rPr>
        <w:t xml:space="preserve"> 4857 sayılı Kanun’un 17. maddesi uyarınca ihbar tazminatları (bildirim süresine uyulmaması halinde</w:t>
      </w:r>
      <w:proofErr w:type="gramStart"/>
      <w:r w:rsidR="00000000">
        <w:rPr>
          <w:i/>
          <w:iCs/>
          <w:color w:val="000000"/>
          <w:sz w:val="22"/>
          <w:szCs w:val="22"/>
        </w:rPr>
        <w:t xml:space="preserve">), </w:t>
      </w:r>
      <w:r w:rsidR="00000000">
        <w:rPr>
          <w:color w:val="000000"/>
          <w:sz w:val="22"/>
          <w:szCs w:val="22"/>
        </w:rPr>
        <w:t xml:space="preserve"> Kanun’un</w:t>
      </w:r>
      <w:proofErr w:type="gramEnd"/>
      <w:r w:rsidR="00000000">
        <w:rPr>
          <w:color w:val="000000"/>
          <w:sz w:val="22"/>
          <w:szCs w:val="22"/>
        </w:rPr>
        <w:t xml:space="preserve"> 14. maddesi uyarınca kıdem </w:t>
      </w:r>
      <w:proofErr w:type="gramStart"/>
      <w:r w:rsidR="00000000">
        <w:rPr>
          <w:color w:val="000000"/>
          <w:sz w:val="22"/>
          <w:szCs w:val="22"/>
        </w:rPr>
        <w:t xml:space="preserve">tazminatları, </w:t>
      </w:r>
      <w:r w:rsidR="00000000">
        <w:rPr>
          <w:i/>
          <w:iCs/>
          <w:color w:val="000000"/>
          <w:sz w:val="22"/>
          <w:szCs w:val="22"/>
        </w:rPr>
        <w:t xml:space="preserve"> Kullanılmamış</w:t>
      </w:r>
      <w:proofErr w:type="gramEnd"/>
      <w:r w:rsidR="00000000">
        <w:rPr>
          <w:i/>
          <w:iCs/>
          <w:color w:val="000000"/>
          <w:sz w:val="22"/>
          <w:szCs w:val="22"/>
        </w:rPr>
        <w:t xml:space="preserve"> yıllık ücretli izin sürelerine ait </w:t>
      </w:r>
      <w:proofErr w:type="gramStart"/>
      <w:r w:rsidR="00000000">
        <w:rPr>
          <w:i/>
          <w:iCs/>
          <w:color w:val="000000"/>
          <w:sz w:val="22"/>
          <w:szCs w:val="22"/>
        </w:rPr>
        <w:t xml:space="preserve">ücretleri, </w:t>
      </w:r>
      <w:r w:rsidR="00000000">
        <w:rPr>
          <w:color w:val="000000"/>
          <w:sz w:val="22"/>
          <w:szCs w:val="22"/>
        </w:rPr>
        <w:t xml:space="preserve"> Varsa</w:t>
      </w:r>
      <w:proofErr w:type="gramEnd"/>
      <w:r w:rsidR="00000000">
        <w:rPr>
          <w:color w:val="000000"/>
          <w:sz w:val="22"/>
          <w:szCs w:val="22"/>
        </w:rPr>
        <w:t xml:space="preserve"> ödenmemiş ücret, fazla mesai, UBGT (Ulusal Bayram ve Genel Tatil) alacakları ve diğer tüm </w:t>
      </w:r>
      <w:proofErr w:type="spellStart"/>
      <w:r w:rsidR="00000000">
        <w:rPr>
          <w:color w:val="000000"/>
          <w:sz w:val="22"/>
          <w:szCs w:val="22"/>
        </w:rPr>
        <w:t>fer’i</w:t>
      </w:r>
      <w:proofErr w:type="spellEnd"/>
      <w:r w:rsidR="00000000">
        <w:rPr>
          <w:color w:val="000000"/>
          <w:sz w:val="22"/>
          <w:szCs w:val="22"/>
        </w:rPr>
        <w:t xml:space="preserve"> hakları, SGK kayıtları ve banka bordroları esas alınarak hesaplanacak ve kişilerin banka hesaplarına tek seferde ve gecikmeksizin yatırılacaktır. </w:t>
      </w:r>
    </w:p>
    <w:p w14:paraId="1DD55B54" w14:textId="77777777" w:rsidR="0005412B" w:rsidRDefault="00000000">
      <w:pPr>
        <w:spacing w:before="240" w:after="240" w:line="276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HUKUKİ DAYANAKLAR:</w:t>
      </w:r>
      <w:r>
        <w:rPr>
          <w:color w:val="000000"/>
          <w:sz w:val="22"/>
          <w:szCs w:val="22"/>
        </w:rPr>
        <w:t xml:space="preserve"> 4857 sayılı İş Kanunu, 6098 sayılı Türk Borçlar Kanunu, Yargıtay İçtihatları ve ilgili yasal mevzuat. </w:t>
      </w:r>
    </w:p>
    <w:p w14:paraId="02ADED80" w14:textId="77777777" w:rsidR="0005412B" w:rsidRDefault="00000000">
      <w:pPr>
        <w:spacing w:before="240" w:after="240" w:line="276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SONUÇ VE KARAR:</w:t>
      </w:r>
      <w:r>
        <w:rPr>
          <w:color w:val="000000"/>
          <w:sz w:val="22"/>
          <w:szCs w:val="22"/>
        </w:rPr>
        <w:t xml:space="preserve"> Yukarıda detaylandırılan nedenlerle; </w:t>
      </w:r>
    </w:p>
    <w:p w14:paraId="071F75B7" w14:textId="4DC5720A" w:rsidR="0005412B" w:rsidRDefault="00000000">
      <w:pPr>
        <w:spacing w:before="240" w:after="24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="00C7321F">
        <w:rPr>
          <w:color w:val="000000"/>
          <w:sz w:val="22"/>
          <w:szCs w:val="22"/>
        </w:rPr>
        <w:t>…………….</w:t>
      </w:r>
      <w:r>
        <w:rPr>
          <w:color w:val="000000"/>
          <w:sz w:val="22"/>
          <w:szCs w:val="22"/>
        </w:rPr>
        <w:t xml:space="preserve"> Sitesi çalışanları </w:t>
      </w:r>
      <w:r w:rsidR="00C7321F">
        <w:rPr>
          <w:color w:val="000000"/>
          <w:sz w:val="22"/>
          <w:szCs w:val="22"/>
        </w:rPr>
        <w:t>………</w:t>
      </w:r>
      <w:r>
        <w:rPr>
          <w:color w:val="000000"/>
          <w:sz w:val="22"/>
          <w:szCs w:val="22"/>
        </w:rPr>
        <w:t xml:space="preserve">ve </w:t>
      </w:r>
      <w:r w:rsidR="00C7321F">
        <w:rPr>
          <w:color w:val="000000"/>
          <w:sz w:val="22"/>
          <w:szCs w:val="22"/>
        </w:rPr>
        <w:t>……</w:t>
      </w:r>
      <w:proofErr w:type="gramStart"/>
      <w:r w:rsidR="00C7321F">
        <w:rPr>
          <w:color w:val="000000"/>
          <w:sz w:val="22"/>
          <w:szCs w:val="22"/>
        </w:rPr>
        <w:t>…….</w:t>
      </w:r>
      <w:proofErr w:type="gramEnd"/>
      <w:r w:rsidR="00C7321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’</w:t>
      </w:r>
      <w:proofErr w:type="spellStart"/>
      <w:r>
        <w:rPr>
          <w:color w:val="000000"/>
          <w:sz w:val="22"/>
          <w:szCs w:val="22"/>
        </w:rPr>
        <w:t>ın</w:t>
      </w:r>
      <w:proofErr w:type="spellEnd"/>
      <w:r>
        <w:rPr>
          <w:color w:val="000000"/>
          <w:sz w:val="22"/>
          <w:szCs w:val="22"/>
        </w:rPr>
        <w:t xml:space="preserve"> iş akitlerinin, yönetim kurulu kararı ve görülen lüzum üzerine feshedilmesine, </w:t>
      </w:r>
    </w:p>
    <w:p w14:paraId="07398249" w14:textId="77777777" w:rsidR="0005412B" w:rsidRDefault="00000000">
      <w:pPr>
        <w:spacing w:before="240" w:after="24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Fesih bildirimlerinin ilgili şahıslara yasal usul dairesinde tebliğ edilmesine, </w:t>
      </w:r>
    </w:p>
    <w:p w14:paraId="1597C03E" w14:textId="77777777" w:rsidR="0005412B" w:rsidRDefault="00000000">
      <w:pPr>
        <w:spacing w:before="240" w:after="24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İlgililerin kıdem tazminatı, ihbar tazminatı, yıllık izin ücreti ve diğer tüm işçilik alacaklarının hesaplanarak, herhangi bir hak kaybına sebebiyet vermeyecek şekilde eksiksiz olarak ödenmesine, </w:t>
      </w:r>
    </w:p>
    <w:p w14:paraId="459D453C" w14:textId="79B6B6A7" w:rsidR="00702F1F" w:rsidRDefault="00000000">
      <w:pPr>
        <w:spacing w:before="240" w:after="240" w:line="276" w:lineRule="auto"/>
        <w:jc w:val="both"/>
      </w:pPr>
      <w:r>
        <w:rPr>
          <w:color w:val="000000"/>
          <w:sz w:val="22"/>
          <w:szCs w:val="22"/>
        </w:rPr>
        <w:t xml:space="preserve">4. Ödemelere ilişkin banka dekontlarının ve ibranamelerin özlük dosyalarında muhafaza edilmesine, Oy birliği ile karar verilmiştir. </w:t>
      </w:r>
    </w:p>
    <w:sectPr w:rsidR="00702F1F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0EEC" w14:textId="77777777" w:rsidR="006726E3" w:rsidRDefault="006726E3">
      <w:r>
        <w:separator/>
      </w:r>
    </w:p>
  </w:endnote>
  <w:endnote w:type="continuationSeparator" w:id="0">
    <w:p w14:paraId="776541FA" w14:textId="77777777" w:rsidR="006726E3" w:rsidRDefault="0067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263C" w14:textId="77777777" w:rsidR="00702F1F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05412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AF15" w14:textId="77777777" w:rsidR="006726E3" w:rsidRDefault="006726E3">
      <w:r>
        <w:separator/>
      </w:r>
    </w:p>
  </w:footnote>
  <w:footnote w:type="continuationSeparator" w:id="0">
    <w:p w14:paraId="39A23674" w14:textId="77777777" w:rsidR="006726E3" w:rsidRDefault="0067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911A3"/>
    <w:multiLevelType w:val="hybridMultilevel"/>
    <w:tmpl w:val="90BCF86A"/>
    <w:lvl w:ilvl="0" w:tplc="A34643C8">
      <w:start w:val="1"/>
      <w:numFmt w:val="bullet"/>
      <w:lvlText w:val="●"/>
      <w:lvlJc w:val="left"/>
      <w:pPr>
        <w:ind w:left="720" w:hanging="360"/>
      </w:pPr>
    </w:lvl>
    <w:lvl w:ilvl="1" w:tplc="9C92291A">
      <w:start w:val="1"/>
      <w:numFmt w:val="bullet"/>
      <w:lvlText w:val="○"/>
      <w:lvlJc w:val="left"/>
      <w:pPr>
        <w:ind w:left="1440" w:hanging="360"/>
      </w:pPr>
    </w:lvl>
    <w:lvl w:ilvl="2" w:tplc="502ABFEA">
      <w:start w:val="1"/>
      <w:numFmt w:val="bullet"/>
      <w:lvlText w:val="■"/>
      <w:lvlJc w:val="left"/>
      <w:pPr>
        <w:ind w:left="2160" w:hanging="360"/>
      </w:pPr>
    </w:lvl>
    <w:lvl w:ilvl="3" w:tplc="0F8CD3E4">
      <w:start w:val="1"/>
      <w:numFmt w:val="bullet"/>
      <w:lvlText w:val="●"/>
      <w:lvlJc w:val="left"/>
      <w:pPr>
        <w:ind w:left="2880" w:hanging="360"/>
      </w:pPr>
    </w:lvl>
    <w:lvl w:ilvl="4" w:tplc="6E74BA5E">
      <w:start w:val="1"/>
      <w:numFmt w:val="bullet"/>
      <w:lvlText w:val="○"/>
      <w:lvlJc w:val="left"/>
      <w:pPr>
        <w:ind w:left="3600" w:hanging="360"/>
      </w:pPr>
    </w:lvl>
    <w:lvl w:ilvl="5" w:tplc="3ECEE91E">
      <w:start w:val="1"/>
      <w:numFmt w:val="bullet"/>
      <w:lvlText w:val="■"/>
      <w:lvlJc w:val="left"/>
      <w:pPr>
        <w:ind w:left="4320" w:hanging="360"/>
      </w:pPr>
    </w:lvl>
    <w:lvl w:ilvl="6" w:tplc="EBFCA8B6">
      <w:start w:val="1"/>
      <w:numFmt w:val="bullet"/>
      <w:lvlText w:val="●"/>
      <w:lvlJc w:val="left"/>
      <w:pPr>
        <w:ind w:left="5040" w:hanging="360"/>
      </w:pPr>
    </w:lvl>
    <w:lvl w:ilvl="7" w:tplc="E3360F9C">
      <w:start w:val="1"/>
      <w:numFmt w:val="bullet"/>
      <w:lvlText w:val="●"/>
      <w:lvlJc w:val="left"/>
      <w:pPr>
        <w:ind w:left="5760" w:hanging="360"/>
      </w:pPr>
    </w:lvl>
    <w:lvl w:ilvl="8" w:tplc="340C2B3A">
      <w:start w:val="1"/>
      <w:numFmt w:val="bullet"/>
      <w:lvlText w:val="●"/>
      <w:lvlJc w:val="left"/>
      <w:pPr>
        <w:ind w:left="6480" w:hanging="360"/>
      </w:pPr>
    </w:lvl>
  </w:abstractNum>
  <w:num w:numId="1" w16cid:durableId="5838772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1F"/>
    <w:rsid w:val="000012C3"/>
    <w:rsid w:val="0005412B"/>
    <w:rsid w:val="006726E3"/>
    <w:rsid w:val="00702F1F"/>
    <w:rsid w:val="00BB40BC"/>
    <w:rsid w:val="00C7321F"/>
    <w:rsid w:val="00D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2E6E"/>
  <w15:docId w15:val="{770BEF09-E04A-481B-9332-CE3498BE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360" w:after="240"/>
      <w:outlineLvl w:val="0"/>
    </w:pPr>
    <w:rPr>
      <w:b/>
      <w:bCs/>
      <w:color w:val="000000"/>
      <w:sz w:val="24"/>
      <w:szCs w:val="24"/>
    </w:rPr>
  </w:style>
  <w:style w:type="paragraph" w:styleId="Balk2">
    <w:name w:val="heading 2"/>
    <w:uiPriority w:val="9"/>
    <w:semiHidden/>
    <w:unhideWhenUsed/>
    <w:qFormat/>
    <w:pPr>
      <w:spacing w:before="320" w:after="160"/>
      <w:outlineLvl w:val="1"/>
    </w:pPr>
    <w:rPr>
      <w:b/>
      <w:bCs/>
      <w:color w:val="000000"/>
    </w:rPr>
  </w:style>
  <w:style w:type="paragraph" w:styleId="Balk3">
    <w:name w:val="heading 3"/>
    <w:uiPriority w:val="9"/>
    <w:semiHidden/>
    <w:unhideWhenUsed/>
    <w:qFormat/>
    <w:pPr>
      <w:spacing w:before="280" w:after="120"/>
      <w:outlineLvl w:val="2"/>
    </w:pPr>
    <w:rPr>
      <w:b/>
      <w:bCs/>
      <w:color w:val="000000"/>
      <w:sz w:val="16"/>
      <w:szCs w:val="16"/>
    </w:rPr>
  </w:style>
  <w:style w:type="paragraph" w:styleId="Balk4">
    <w:name w:val="heading 4"/>
    <w:uiPriority w:val="9"/>
    <w:semiHidden/>
    <w:unhideWhenUsed/>
    <w:qFormat/>
    <w:pPr>
      <w:spacing w:before="240" w:after="120"/>
      <w:outlineLvl w:val="3"/>
    </w:pPr>
    <w:rPr>
      <w:b/>
      <w:bCs/>
      <w:color w:val="000000"/>
      <w:sz w:val="12"/>
      <w:szCs w:val="12"/>
    </w:rPr>
  </w:style>
  <w:style w:type="paragraph" w:styleId="Balk5">
    <w:name w:val="heading 5"/>
    <w:uiPriority w:val="9"/>
    <w:semiHidden/>
    <w:unhideWhenUsed/>
    <w:qFormat/>
    <w:pPr>
      <w:spacing w:before="220" w:after="100"/>
      <w:outlineLvl w:val="4"/>
    </w:pPr>
    <w:rPr>
      <w:b/>
      <w:bCs/>
      <w:color w:val="000000"/>
      <w:sz w:val="8"/>
      <w:szCs w:val="8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pPr>
      <w:spacing w:after="240" w:line="276" w:lineRule="auto"/>
      <w:jc w:val="center"/>
    </w:pPr>
    <w:rPr>
      <w:b/>
      <w:bCs/>
      <w:color w:val="000000"/>
      <w:sz w:val="24"/>
      <w:szCs w:val="24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customStyle="1" w:styleId="Gl2">
    <w:name w:val="Güçlü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engin güzel</cp:lastModifiedBy>
  <cp:revision>5</cp:revision>
  <dcterms:created xsi:type="dcterms:W3CDTF">2026-01-13T14:07:00Z</dcterms:created>
  <dcterms:modified xsi:type="dcterms:W3CDTF">2026-01-27T15:05:00Z</dcterms:modified>
</cp:coreProperties>
</file>